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ascii="方正小标宋简体" w:eastAsia="方正小标宋简体"/>
          <w:color w:val="auto"/>
          <w:sz w:val="44"/>
          <w:szCs w:val="44"/>
        </w:rPr>
      </w:pPr>
      <w:bookmarkStart w:id="0" w:name="_GoBack"/>
      <w:r>
        <w:rPr>
          <w:rFonts w:hint="eastAsia" w:ascii="方正小标宋简体" w:eastAsia="方正小标宋简体"/>
          <w:color w:val="auto"/>
          <w:sz w:val="44"/>
          <w:szCs w:val="44"/>
        </w:rPr>
        <w:t>政策解读</w:t>
      </w:r>
    </w:p>
    <w:p>
      <w:pPr>
        <w:rPr>
          <w:rFonts w:ascii="仿宋_GB2312" w:eastAsia="仿宋_GB2312"/>
          <w:color w:val="auto"/>
          <w:sz w:val="32"/>
          <w:szCs w:val="32"/>
        </w:rPr>
      </w:pPr>
    </w:p>
    <w:p>
      <w:pPr>
        <w:ind w:firstLine="707" w:firstLineChars="221"/>
        <w:rPr>
          <w:rFonts w:ascii="黑体" w:hAnsi="黑体" w:eastAsia="黑体"/>
          <w:color w:val="auto"/>
          <w:sz w:val="32"/>
          <w:szCs w:val="32"/>
        </w:rPr>
      </w:pPr>
      <w:r>
        <w:rPr>
          <w:rFonts w:hint="eastAsia" w:ascii="黑体" w:hAnsi="黑体" w:eastAsia="黑体"/>
          <w:color w:val="auto"/>
          <w:sz w:val="32"/>
          <w:szCs w:val="32"/>
        </w:rPr>
        <w:t>一、出台背景</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由于商务工作关联的《威海经济技术开发区关于加快新旧动能转换扶持企业发展的实施意见》</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rPr>
        <w:t>经技区发〔20</w:t>
      </w:r>
      <w:r>
        <w:rPr>
          <w:rFonts w:hint="default" w:ascii="Times New Roman" w:hAnsi="Times New Roman" w:eastAsia="仿宋_GB2312" w:cs="Times New Roman"/>
          <w:color w:val="auto"/>
          <w:sz w:val="32"/>
          <w:lang w:val="en-US" w:eastAsia="zh-CN"/>
        </w:rPr>
        <w:t>19</w:t>
      </w:r>
      <w:r>
        <w:rPr>
          <w:rFonts w:hint="default" w:ascii="Times New Roman" w:hAnsi="Times New Roman" w:eastAsia="仿宋_GB2312" w:cs="Times New Roman"/>
          <w:color w:val="auto"/>
          <w:sz w:val="32"/>
        </w:rPr>
        <w:t>〕</w:t>
      </w:r>
      <w:r>
        <w:rPr>
          <w:rFonts w:hint="default" w:ascii="Times New Roman" w:hAnsi="Times New Roman" w:eastAsia="仿宋_GB2312" w:cs="Times New Roman"/>
          <w:color w:val="auto"/>
          <w:sz w:val="32"/>
          <w:lang w:val="en-US" w:eastAsia="zh-CN"/>
        </w:rPr>
        <w:t>4</w:t>
      </w:r>
      <w:r>
        <w:rPr>
          <w:rFonts w:hint="default" w:ascii="Times New Roman" w:hAnsi="Times New Roman" w:eastAsia="仿宋_GB2312" w:cs="Times New Roman"/>
          <w:color w:val="auto"/>
          <w:sz w:val="32"/>
        </w:rPr>
        <w:t>号</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已于2021年12月31日到期，</w:t>
      </w:r>
      <w:r>
        <w:rPr>
          <w:rFonts w:hint="default" w:ascii="Times New Roman" w:hAnsi="Times New Roman" w:eastAsia="仿宋_GB2312" w:cs="Times New Roman"/>
          <w:color w:val="auto"/>
          <w:sz w:val="32"/>
        </w:rPr>
        <w:t>《威海经济技术开发区关于推动开放型经济及商贸流通业高质量发展的扶持意见》（经技区管发〔2021〕235号）计划废止，</w:t>
      </w:r>
      <w:r>
        <w:rPr>
          <w:rFonts w:hint="default" w:ascii="Times New Roman" w:hAnsi="Times New Roman" w:eastAsia="仿宋_GB2312" w:cs="Times New Roman"/>
          <w:color w:val="auto"/>
          <w:sz w:val="32"/>
          <w:szCs w:val="32"/>
        </w:rPr>
        <w:t>为深入贯彻新发展理念，充分发挥政策的激励引导作用，提升省市开发区考核成绩，着力恢复扩大消费，促进</w:t>
      </w:r>
      <w:r>
        <w:rPr>
          <w:rFonts w:hint="default" w:ascii="Times New Roman" w:hAnsi="Times New Roman" w:eastAsia="仿宋_GB2312" w:cs="Times New Roman"/>
          <w:color w:val="auto"/>
          <w:sz w:val="32"/>
          <w:szCs w:val="32"/>
          <w:lang w:val="en-US" w:eastAsia="zh-CN"/>
        </w:rPr>
        <w:t>内</w:t>
      </w:r>
      <w:r>
        <w:rPr>
          <w:rFonts w:hint="default" w:ascii="Times New Roman" w:hAnsi="Times New Roman" w:eastAsia="仿宋_GB2312" w:cs="Times New Roman"/>
          <w:color w:val="auto"/>
          <w:sz w:val="32"/>
          <w:szCs w:val="32"/>
        </w:rPr>
        <w:t>外贸高质量发展，有效盘活闲置商务楼宇，参照</w:t>
      </w:r>
      <w:r>
        <w:rPr>
          <w:rFonts w:hint="default" w:ascii="Times New Roman" w:hAnsi="Times New Roman" w:eastAsia="仿宋_GB2312" w:cs="Times New Roman"/>
          <w:color w:val="auto"/>
          <w:sz w:val="32"/>
        </w:rPr>
        <w:t>山东省政府出台的《2023年关于促进经济加快恢复发展的政策措施》（第一批、第二批）、《关于促进内外贸一体化发展持续打造对外开放新高地的若干措施》，省市分别出台的商贸流通领域促进消费的政策措施</w:t>
      </w:r>
      <w:r>
        <w:rPr>
          <w:rFonts w:hint="default"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rPr>
        <w:t>市商务局出台的《关于支持商务发展的政策措施》，以及</w:t>
      </w:r>
      <w:r>
        <w:rPr>
          <w:rFonts w:hint="default" w:ascii="Times New Roman" w:hAnsi="Times New Roman" w:eastAsia="仿宋_GB2312" w:cs="Times New Roman"/>
          <w:color w:val="auto"/>
          <w:sz w:val="32"/>
          <w:szCs w:val="32"/>
        </w:rPr>
        <w:t>《环翠区关于加快楼宇经济发展的扶持意见》（威环商务字﹝2022﹞16号）等政策文件，结合我区实际，研究制定了《关于促进内外贸高质量发展的实施意见》。该政策包括扶持对象和条件、扶持方向和标准、认定程序、附则四个部分，扶持年度为2023年—2025年。</w:t>
      </w:r>
    </w:p>
    <w:p>
      <w:pPr>
        <w:ind w:firstLine="707" w:firstLineChars="221"/>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二、政策覆盖面</w:t>
      </w:r>
    </w:p>
    <w:p>
      <w:pPr>
        <w:pStyle w:val="5"/>
        <w:widowControl/>
        <w:shd w:val="clear" w:color="auto" w:fill="FFFFFF"/>
        <w:adjustRightInd w:val="0"/>
        <w:snapToGrid w:val="0"/>
        <w:spacing w:beforeAutospacing="0" w:afterAutospacing="0" w:line="56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涵盖恢复和扩大消费、促进对外贸易发展、扶持盘活闲置商务楼宇3个板块7个条目12个细分领域。</w:t>
      </w:r>
    </w:p>
    <w:p>
      <w:pPr>
        <w:numPr>
          <w:ilvl w:val="0"/>
          <w:numId w:val="1"/>
        </w:numPr>
        <w:ind w:firstLine="707" w:firstLineChars="221"/>
        <w:rPr>
          <w:rFonts w:hint="eastAsia" w:ascii="黑体" w:hAnsi="黑体" w:eastAsia="黑体"/>
          <w:bCs/>
          <w:color w:val="auto"/>
          <w:sz w:val="32"/>
          <w:szCs w:val="32"/>
        </w:rPr>
      </w:pPr>
      <w:r>
        <w:rPr>
          <w:rFonts w:hint="eastAsia" w:ascii="黑体" w:hAnsi="黑体" w:eastAsia="黑体"/>
          <w:bCs/>
          <w:color w:val="auto"/>
          <w:sz w:val="32"/>
          <w:szCs w:val="32"/>
        </w:rPr>
        <w:t>修改增加的主要内容</w:t>
      </w:r>
    </w:p>
    <w:p>
      <w:pPr>
        <w:spacing w:line="560" w:lineRule="exact"/>
        <w:ind w:firstLine="640" w:firstLineChars="200"/>
        <w:rPr>
          <w:rFonts w:hint="eastAsia" w:eastAsia="仿宋_GB2312"/>
          <w:color w:val="auto"/>
          <w:sz w:val="32"/>
          <w:szCs w:val="32"/>
        </w:rPr>
      </w:pPr>
      <w:r>
        <w:rPr>
          <w:rFonts w:hint="eastAsia" w:eastAsia="仿宋_GB2312"/>
          <w:color w:val="auto"/>
          <w:sz w:val="32"/>
          <w:szCs w:val="32"/>
        </w:rPr>
        <w:t>修订</w:t>
      </w:r>
      <w:r>
        <w:rPr>
          <w:rFonts w:hint="eastAsia" w:eastAsia="仿宋_GB2312"/>
          <w:color w:val="auto"/>
          <w:sz w:val="32"/>
          <w:szCs w:val="32"/>
          <w:lang w:eastAsia="zh-CN"/>
        </w:rPr>
        <w:t>“</w:t>
      </w:r>
      <w:r>
        <w:rPr>
          <w:rFonts w:eastAsia="仿宋_GB2312"/>
          <w:color w:val="auto"/>
          <w:sz w:val="32"/>
          <w:szCs w:val="32"/>
        </w:rPr>
        <w:t>强化骨干外贸企业引领提升</w:t>
      </w:r>
      <w:r>
        <w:rPr>
          <w:rFonts w:hint="eastAsia" w:eastAsia="仿宋_GB2312"/>
          <w:color w:val="auto"/>
          <w:sz w:val="32"/>
          <w:szCs w:val="32"/>
        </w:rPr>
        <w:t>、</w:t>
      </w:r>
      <w:r>
        <w:rPr>
          <w:rFonts w:eastAsia="仿宋_GB2312"/>
          <w:color w:val="auto"/>
          <w:sz w:val="32"/>
          <w:szCs w:val="32"/>
        </w:rPr>
        <w:t>鼓励企业做大贸易规模</w:t>
      </w:r>
      <w:r>
        <w:rPr>
          <w:rFonts w:hint="eastAsia" w:eastAsia="仿宋_GB2312"/>
          <w:color w:val="auto"/>
          <w:sz w:val="32"/>
          <w:szCs w:val="32"/>
        </w:rPr>
        <w:t>、</w:t>
      </w:r>
      <w:r>
        <w:rPr>
          <w:rFonts w:eastAsia="仿宋_GB2312"/>
          <w:color w:val="auto"/>
          <w:sz w:val="32"/>
          <w:szCs w:val="32"/>
        </w:rPr>
        <w:t>支持跨境电商发展</w:t>
      </w:r>
      <w:r>
        <w:rPr>
          <w:rFonts w:hint="eastAsia" w:eastAsia="仿宋_GB2312"/>
          <w:color w:val="auto"/>
          <w:sz w:val="32"/>
          <w:szCs w:val="32"/>
        </w:rPr>
        <w:t>、</w:t>
      </w:r>
      <w:r>
        <w:rPr>
          <w:rFonts w:eastAsia="仿宋_GB2312"/>
          <w:color w:val="auto"/>
          <w:sz w:val="32"/>
          <w:szCs w:val="32"/>
        </w:rPr>
        <w:t>培育对外贸易产业园区（平台）</w:t>
      </w:r>
      <w:r>
        <w:rPr>
          <w:rFonts w:hint="eastAsia" w:eastAsia="仿宋_GB2312"/>
          <w:color w:val="auto"/>
          <w:sz w:val="32"/>
          <w:szCs w:val="32"/>
        </w:rPr>
        <w:t>、</w:t>
      </w:r>
      <w:r>
        <w:rPr>
          <w:rFonts w:eastAsia="仿宋_GB2312"/>
          <w:color w:val="auto"/>
          <w:sz w:val="32"/>
          <w:szCs w:val="32"/>
        </w:rPr>
        <w:t>鼓励投保出口信保</w:t>
      </w:r>
      <w:r>
        <w:rPr>
          <w:rFonts w:hint="eastAsia" w:eastAsia="仿宋_GB2312"/>
          <w:color w:val="auto"/>
          <w:sz w:val="32"/>
          <w:szCs w:val="32"/>
        </w:rPr>
        <w:t>、</w:t>
      </w:r>
      <w:r>
        <w:rPr>
          <w:rFonts w:eastAsia="仿宋_GB2312"/>
          <w:color w:val="auto"/>
          <w:sz w:val="32"/>
          <w:szCs w:val="32"/>
        </w:rPr>
        <w:t>支持境外市场拓展</w:t>
      </w:r>
      <w:r>
        <w:rPr>
          <w:rFonts w:hint="eastAsia" w:eastAsia="仿宋_GB2312"/>
          <w:color w:val="auto"/>
          <w:sz w:val="32"/>
          <w:szCs w:val="32"/>
          <w:lang w:eastAsia="zh-CN"/>
        </w:rPr>
        <w:t>”</w:t>
      </w:r>
      <w:r>
        <w:rPr>
          <w:rFonts w:hint="eastAsia" w:eastAsia="仿宋_GB2312"/>
          <w:color w:val="auto"/>
          <w:sz w:val="32"/>
          <w:szCs w:val="32"/>
          <w:lang w:eastAsia="zh-CN"/>
        </w:rPr>
        <w:t>，</w:t>
      </w:r>
      <w:r>
        <w:rPr>
          <w:rFonts w:hint="eastAsia" w:eastAsia="仿宋_GB2312"/>
          <w:color w:val="auto"/>
          <w:sz w:val="32"/>
          <w:szCs w:val="32"/>
        </w:rPr>
        <w:t>目的是</w:t>
      </w:r>
      <w:r>
        <w:rPr>
          <w:rFonts w:eastAsia="仿宋_GB2312"/>
          <w:color w:val="auto"/>
          <w:sz w:val="32"/>
          <w:szCs w:val="32"/>
        </w:rPr>
        <w:t>鼓励骨干龙头企业发挥引领带动作用</w:t>
      </w:r>
      <w:r>
        <w:rPr>
          <w:rFonts w:hint="eastAsia" w:eastAsia="仿宋_GB2312"/>
          <w:color w:val="auto"/>
          <w:sz w:val="32"/>
          <w:szCs w:val="32"/>
        </w:rPr>
        <w:t>，</w:t>
      </w:r>
      <w:r>
        <w:rPr>
          <w:rFonts w:eastAsia="仿宋_GB2312"/>
          <w:color w:val="auto"/>
          <w:sz w:val="32"/>
          <w:szCs w:val="32"/>
        </w:rPr>
        <w:t>鼓励区内各类生产或贸易型企业提升贸易规模</w:t>
      </w:r>
      <w:r>
        <w:rPr>
          <w:rFonts w:hint="eastAsia" w:eastAsia="仿宋_GB2312"/>
          <w:color w:val="auto"/>
          <w:sz w:val="32"/>
          <w:szCs w:val="32"/>
        </w:rPr>
        <w:t>，支持</w:t>
      </w:r>
      <w:r>
        <w:rPr>
          <w:rFonts w:eastAsia="仿宋_GB2312"/>
          <w:color w:val="auto"/>
          <w:sz w:val="32"/>
          <w:szCs w:val="32"/>
        </w:rPr>
        <w:t>跨境电商</w:t>
      </w:r>
      <w:r>
        <w:rPr>
          <w:rFonts w:hint="eastAsia" w:eastAsia="仿宋_GB2312"/>
          <w:color w:val="auto"/>
          <w:sz w:val="32"/>
          <w:szCs w:val="32"/>
        </w:rPr>
        <w:t>等新业态</w:t>
      </w:r>
      <w:r>
        <w:rPr>
          <w:rFonts w:eastAsia="仿宋_GB2312"/>
          <w:color w:val="auto"/>
          <w:sz w:val="32"/>
          <w:szCs w:val="32"/>
        </w:rPr>
        <w:t>提升规模</w:t>
      </w:r>
      <w:r>
        <w:rPr>
          <w:rFonts w:hint="eastAsia" w:eastAsia="仿宋_GB2312"/>
          <w:color w:val="auto"/>
          <w:sz w:val="32"/>
          <w:szCs w:val="32"/>
        </w:rPr>
        <w:t>、吸引贸易型企业集聚发展，推动全区外贸高质量发展。</w:t>
      </w:r>
    </w:p>
    <w:p>
      <w:pPr>
        <w:pStyle w:val="2"/>
        <w:ind w:firstLine="640" w:firstLineChars="200"/>
        <w:rPr>
          <w:rFonts w:hint="eastAsia" w:eastAsia="仿宋_GB2312"/>
          <w:color w:val="auto"/>
          <w:lang w:val="en-US" w:eastAsia="zh-CN"/>
        </w:rPr>
      </w:pPr>
      <w:r>
        <w:rPr>
          <w:rFonts w:hint="eastAsia" w:eastAsia="仿宋_GB2312"/>
          <w:color w:val="auto"/>
          <w:sz w:val="32"/>
          <w:szCs w:val="32"/>
          <w:lang w:val="en-US" w:eastAsia="zh-CN"/>
        </w:rPr>
        <w:t>修订“升规纳统和膨胀发展”，</w:t>
      </w:r>
      <w:r>
        <w:rPr>
          <w:rFonts w:eastAsia="仿宋_GB2312"/>
          <w:color w:val="auto"/>
          <w:sz w:val="32"/>
          <w:szCs w:val="32"/>
        </w:rPr>
        <w:t>目的为充分调动“准四上”</w:t>
      </w:r>
      <w:r>
        <w:rPr>
          <w:rFonts w:hint="eastAsia" w:eastAsia="仿宋_GB2312"/>
          <w:color w:val="auto"/>
          <w:sz w:val="32"/>
          <w:szCs w:val="32"/>
          <w:lang w:val="en-US" w:eastAsia="zh-CN"/>
        </w:rPr>
        <w:t>批零住餐企业</w:t>
      </w:r>
      <w:r>
        <w:rPr>
          <w:rFonts w:eastAsia="仿宋_GB2312"/>
          <w:color w:val="auto"/>
          <w:sz w:val="32"/>
          <w:szCs w:val="32"/>
        </w:rPr>
        <w:t>和新增纳统企业主动性和积极性，</w:t>
      </w:r>
      <w:r>
        <w:rPr>
          <w:rFonts w:hint="eastAsia" w:eastAsia="仿宋_GB2312"/>
          <w:color w:val="auto"/>
          <w:sz w:val="32"/>
          <w:szCs w:val="32"/>
          <w:lang w:val="en-US" w:eastAsia="zh-CN"/>
        </w:rPr>
        <w:t>进一步鼓励推动</w:t>
      </w:r>
      <w:r>
        <w:rPr>
          <w:rFonts w:eastAsia="仿宋_GB2312"/>
          <w:color w:val="auto"/>
          <w:sz w:val="32"/>
          <w:szCs w:val="32"/>
        </w:rPr>
        <w:t>批零住餐</w:t>
      </w:r>
      <w:r>
        <w:rPr>
          <w:rFonts w:hint="eastAsia" w:eastAsia="仿宋_GB2312"/>
          <w:color w:val="auto"/>
          <w:sz w:val="32"/>
          <w:szCs w:val="32"/>
          <w:lang w:val="en-US" w:eastAsia="zh-CN"/>
        </w:rPr>
        <w:t>企业做大做强、膨胀发展，推动批零住餐</w:t>
      </w:r>
      <w:r>
        <w:rPr>
          <w:rFonts w:eastAsia="仿宋_GB2312"/>
          <w:color w:val="auto"/>
          <w:sz w:val="32"/>
          <w:szCs w:val="32"/>
        </w:rPr>
        <w:t>、</w:t>
      </w:r>
      <w:r>
        <w:rPr>
          <w:rFonts w:hint="eastAsia" w:eastAsia="仿宋_GB2312"/>
          <w:color w:val="auto"/>
          <w:sz w:val="32"/>
          <w:szCs w:val="32"/>
          <w:lang w:val="en-US" w:eastAsia="zh-CN"/>
        </w:rPr>
        <w:t>社会消费品零售总额</w:t>
      </w:r>
      <w:r>
        <w:rPr>
          <w:rFonts w:eastAsia="仿宋_GB2312"/>
          <w:color w:val="auto"/>
          <w:sz w:val="32"/>
          <w:szCs w:val="32"/>
        </w:rPr>
        <w:t>和升规纳统指标</w:t>
      </w:r>
      <w:r>
        <w:rPr>
          <w:rFonts w:hint="eastAsia" w:eastAsia="仿宋_GB2312"/>
          <w:color w:val="auto"/>
          <w:sz w:val="32"/>
          <w:szCs w:val="32"/>
          <w:lang w:val="en-US" w:eastAsia="zh-CN"/>
        </w:rPr>
        <w:t>提升</w:t>
      </w:r>
      <w:r>
        <w:rPr>
          <w:rFonts w:hint="eastAsia" w:eastAsia="仿宋_GB2312"/>
          <w:color w:val="auto"/>
          <w:sz w:val="32"/>
          <w:szCs w:val="32"/>
          <w:lang w:eastAsia="zh-CN"/>
        </w:rPr>
        <w:t>。</w:t>
      </w:r>
    </w:p>
    <w:p>
      <w:pPr>
        <w:spacing w:line="560" w:lineRule="exact"/>
        <w:ind w:firstLine="704" w:firstLineChars="220"/>
        <w:rPr>
          <w:rFonts w:hint="eastAsia" w:ascii="楷体_GB2312" w:hAnsi="华文楷体" w:eastAsia="楷体_GB2312"/>
          <w:color w:val="auto"/>
          <w:sz w:val="32"/>
          <w:szCs w:val="32"/>
        </w:rPr>
      </w:pPr>
      <w:r>
        <w:rPr>
          <w:rFonts w:hint="eastAsia" w:ascii="黑体" w:hAnsi="黑体" w:eastAsia="黑体"/>
          <w:color w:val="auto"/>
          <w:sz w:val="32"/>
          <w:szCs w:val="32"/>
        </w:rPr>
        <w:t>四、</w:t>
      </w:r>
      <w:r>
        <w:rPr>
          <w:rFonts w:hint="eastAsia" w:ascii="黑体" w:hAnsi="黑体" w:eastAsia="黑体"/>
          <w:color w:val="auto"/>
          <w:sz w:val="32"/>
          <w:szCs w:val="32"/>
          <w:lang w:val="en-US" w:eastAsia="zh-CN"/>
        </w:rPr>
        <w:t>认定</w:t>
      </w:r>
      <w:r>
        <w:rPr>
          <w:rFonts w:hint="eastAsia" w:ascii="黑体" w:hAnsi="黑体" w:eastAsia="黑体"/>
          <w:color w:val="auto"/>
          <w:sz w:val="32"/>
          <w:szCs w:val="32"/>
        </w:rPr>
        <w:t>程序</w:t>
      </w:r>
    </w:p>
    <w:p>
      <w:pPr>
        <w:spacing w:line="560" w:lineRule="exact"/>
        <w:ind w:firstLine="640" w:firstLineChars="200"/>
        <w:rPr>
          <w:rFonts w:ascii="仿宋_GB2312" w:eastAsia="仿宋_GB2312"/>
          <w:color w:val="auto"/>
          <w:sz w:val="32"/>
          <w:szCs w:val="32"/>
        </w:rPr>
      </w:pPr>
      <w:r>
        <w:rPr>
          <w:rFonts w:eastAsia="仿宋_GB2312"/>
          <w:color w:val="auto"/>
          <w:kern w:val="0"/>
          <w:sz w:val="32"/>
          <w:szCs w:val="32"/>
        </w:rPr>
        <w:t>各申报主体</w:t>
      </w:r>
      <w:r>
        <w:rPr>
          <w:rFonts w:eastAsia="仿宋_GB2312"/>
          <w:color w:val="auto"/>
          <w:sz w:val="32"/>
          <w:szCs w:val="32"/>
        </w:rPr>
        <w:t>按要求向区商务局（镇街）提交申报资料，由区商务局（镇街）负责对申报企业、申报材料的真实性和完整性等进行汇总审查，形成审核意见后报送区财政金融局。区财政金融局负责审核并提出意见反馈区商务局。区商务局根据审核意见拟定政策兑现意见，报区党工委管委研究审批。</w:t>
      </w:r>
      <w:r>
        <w:rPr>
          <w:rFonts w:hint="eastAsia" w:eastAsia="仿宋_GB2312"/>
          <w:color w:val="auto"/>
          <w:sz w:val="32"/>
          <w:szCs w:val="32"/>
        </w:rPr>
        <w:t>其中，</w:t>
      </w:r>
      <w:r>
        <w:rPr>
          <w:rFonts w:eastAsia="仿宋_GB2312"/>
          <w:color w:val="auto"/>
          <w:kern w:val="0"/>
          <w:sz w:val="32"/>
          <w:szCs w:val="32"/>
        </w:rPr>
        <w:t>汽车消费券、餐饮消费券补贴资金按照市级要求予以落实。</w:t>
      </w:r>
    </w:p>
    <w:bookmarkEnd w:id="0"/>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58B2D9"/>
    <w:multiLevelType w:val="singleLevel"/>
    <w:tmpl w:val="BF58B2D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EwYTEzYjAyZWM3MmUxNmUxN2U3MTQxNWZlMjc5OGEifQ=="/>
  </w:docVars>
  <w:rsids>
    <w:rsidRoot w:val="00BE5645"/>
    <w:rsid w:val="00055C1C"/>
    <w:rsid w:val="00061AB0"/>
    <w:rsid w:val="00071657"/>
    <w:rsid w:val="00082151"/>
    <w:rsid w:val="00090C69"/>
    <w:rsid w:val="00096B95"/>
    <w:rsid w:val="000A4DFA"/>
    <w:rsid w:val="000A5FF0"/>
    <w:rsid w:val="0015184F"/>
    <w:rsid w:val="001B0FF8"/>
    <w:rsid w:val="001C1A0E"/>
    <w:rsid w:val="001E39BA"/>
    <w:rsid w:val="00262071"/>
    <w:rsid w:val="002C2CB3"/>
    <w:rsid w:val="002D0E3E"/>
    <w:rsid w:val="00314DA7"/>
    <w:rsid w:val="00340931"/>
    <w:rsid w:val="00342406"/>
    <w:rsid w:val="0036184D"/>
    <w:rsid w:val="003A41C1"/>
    <w:rsid w:val="004329C0"/>
    <w:rsid w:val="00451767"/>
    <w:rsid w:val="00485805"/>
    <w:rsid w:val="004B786C"/>
    <w:rsid w:val="004C2F7C"/>
    <w:rsid w:val="00533767"/>
    <w:rsid w:val="00576DD7"/>
    <w:rsid w:val="005805AC"/>
    <w:rsid w:val="005B7683"/>
    <w:rsid w:val="00635019"/>
    <w:rsid w:val="00646A45"/>
    <w:rsid w:val="00664A67"/>
    <w:rsid w:val="006A7DA5"/>
    <w:rsid w:val="006B6DC6"/>
    <w:rsid w:val="006F5149"/>
    <w:rsid w:val="006F7AC7"/>
    <w:rsid w:val="00703D26"/>
    <w:rsid w:val="00705BD9"/>
    <w:rsid w:val="007E1659"/>
    <w:rsid w:val="0081232B"/>
    <w:rsid w:val="00834056"/>
    <w:rsid w:val="008A0371"/>
    <w:rsid w:val="008A35A7"/>
    <w:rsid w:val="008B3B5E"/>
    <w:rsid w:val="008E55CD"/>
    <w:rsid w:val="009B2A7D"/>
    <w:rsid w:val="009B7687"/>
    <w:rsid w:val="009D7965"/>
    <w:rsid w:val="009E5720"/>
    <w:rsid w:val="00A06E10"/>
    <w:rsid w:val="00A31CDC"/>
    <w:rsid w:val="00A408FD"/>
    <w:rsid w:val="00AD3D8C"/>
    <w:rsid w:val="00B256BD"/>
    <w:rsid w:val="00B32B16"/>
    <w:rsid w:val="00B574E6"/>
    <w:rsid w:val="00B67E6D"/>
    <w:rsid w:val="00B76DF0"/>
    <w:rsid w:val="00BB158F"/>
    <w:rsid w:val="00BE5645"/>
    <w:rsid w:val="00C1191A"/>
    <w:rsid w:val="00C34AAD"/>
    <w:rsid w:val="00C71533"/>
    <w:rsid w:val="00C87C81"/>
    <w:rsid w:val="00CF7B3F"/>
    <w:rsid w:val="00D01B2D"/>
    <w:rsid w:val="00D341D7"/>
    <w:rsid w:val="00D35B8F"/>
    <w:rsid w:val="00D35BEE"/>
    <w:rsid w:val="00DA3014"/>
    <w:rsid w:val="00DB2674"/>
    <w:rsid w:val="00DF5DE5"/>
    <w:rsid w:val="00E00468"/>
    <w:rsid w:val="00E43B24"/>
    <w:rsid w:val="00E5354A"/>
    <w:rsid w:val="00E63BE3"/>
    <w:rsid w:val="00E65C61"/>
    <w:rsid w:val="00E70FB6"/>
    <w:rsid w:val="00E912AB"/>
    <w:rsid w:val="00EA4159"/>
    <w:rsid w:val="00EB1E25"/>
    <w:rsid w:val="00EC3759"/>
    <w:rsid w:val="00EC3D4D"/>
    <w:rsid w:val="00ED4ED1"/>
    <w:rsid w:val="00F27978"/>
    <w:rsid w:val="00F44F1B"/>
    <w:rsid w:val="00F6051D"/>
    <w:rsid w:val="00F9051E"/>
    <w:rsid w:val="00F95F4E"/>
    <w:rsid w:val="00FB4599"/>
    <w:rsid w:val="00FB4C6B"/>
    <w:rsid w:val="00FB6FF7"/>
    <w:rsid w:val="00FC2E2F"/>
    <w:rsid w:val="00FD28FE"/>
    <w:rsid w:val="00FF547D"/>
    <w:rsid w:val="07DD347F"/>
    <w:rsid w:val="23776AED"/>
    <w:rsid w:val="2FC5755F"/>
    <w:rsid w:val="44C35637"/>
    <w:rsid w:val="553158A2"/>
    <w:rsid w:val="611005B8"/>
    <w:rsid w:val="67251E9B"/>
    <w:rsid w:val="70785935"/>
    <w:rsid w:val="73194B8A"/>
    <w:rsid w:val="795F5F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Times New Roman" w:hAnsi="Times New Roman"/>
      <w:sz w:val="18"/>
    </w:r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styleId="8">
    <w:name w:val="List Paragraph"/>
    <w:basedOn w:val="1"/>
    <w:qFormat/>
    <w:uiPriority w:val="34"/>
    <w:pPr>
      <w:ind w:firstLine="420" w:firstLineChars="200"/>
    </w:pPr>
  </w:style>
  <w:style w:type="character" w:customStyle="1" w:styleId="9">
    <w:name w:val="页眉 Char"/>
    <w:basedOn w:val="7"/>
    <w:link w:val="4"/>
    <w:semiHidden/>
    <w:uiPriority w:val="99"/>
    <w:rPr>
      <w:sz w:val="18"/>
      <w:szCs w:val="18"/>
    </w:rPr>
  </w:style>
  <w:style w:type="character" w:customStyle="1" w:styleId="10">
    <w:name w:val="页脚 Char"/>
    <w:basedOn w:val="7"/>
    <w:link w:val="3"/>
    <w:semiHidden/>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8048C1-5F80-4593-87F9-9C2AC813FBDF}">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Pages>
  <Words>898</Words>
  <Characters>926</Characters>
  <Lines>11</Lines>
  <Paragraphs>3</Paragraphs>
  <TotalTime>4</TotalTime>
  <ScaleCrop>false</ScaleCrop>
  <LinksUpToDate>false</LinksUpToDate>
  <CharactersWithSpaces>926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2021-08-24T09:45:00Z</dcterms:created>
  <dc:creator>AutoBVT</dc:creator>
  <cp:lastModifiedBy>胡小兔</cp:lastModifiedBy>
  <cp:lastPrinted>2021-08-04T00:24:00Z</cp:lastPrinted>
  <dcterms:modified xsi:type="dcterms:W3CDTF">2023-08-04T07:39:14Z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B624EF0071E9474FA2288E173E99B626_12</vt:lpwstr>
  </property>
</Properties>
</file>